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Arial" w:cs="Arial" w:eastAsia="Arial" w:hAnsi="Arial"/>
          <w:sz w:val="34"/>
          <w:szCs w:val="34"/>
        </w:rPr>
      </w:pPr>
      <w:r w:rsidDel="00000000" w:rsidR="00000000" w:rsidRPr="00000000">
        <w:rPr>
          <w:rFonts w:ascii="Arial" w:cs="Arial" w:eastAsia="Arial" w:hAnsi="Arial"/>
          <w:b w:val="1"/>
          <w:sz w:val="34"/>
          <w:szCs w:val="34"/>
          <w:rtl w:val="0"/>
        </w:rPr>
        <w:t xml:space="preserve">Jak na výdejní boxy ve městě? Odborníci přináší první komplexní návrh</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Výdejní boxy jsou oblíbenou součástí moderního nakupování. V poslední době však vyvolávají silné reakce kvůli necitlivému umisťování do veřejného prostoru. Jak je možné boxy začlenit do městského prostředí s větším ohledem na kontext a okolí, ukazuje nová neformální iniciativa, na které se podíleli zástupci z 18 měst napříč Českem.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4">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Jde o první projekt svého druhu – neziskový spolek </w:t>
      </w:r>
      <w:hyperlink r:id="rId6">
        <w:r w:rsidDel="00000000" w:rsidR="00000000" w:rsidRPr="00000000">
          <w:rPr>
            <w:rFonts w:ascii="Arial" w:cs="Arial" w:eastAsia="Arial" w:hAnsi="Arial"/>
            <w:b w:val="1"/>
            <w:color w:val="1155cc"/>
            <w:sz w:val="22"/>
            <w:szCs w:val="22"/>
            <w:u w:val="single"/>
            <w:rtl w:val="0"/>
          </w:rPr>
          <w:t xml:space="preserve">Naše kultivovaná města</w:t>
        </w:r>
      </w:hyperlink>
      <w:r w:rsidDel="00000000" w:rsidR="00000000" w:rsidRPr="00000000">
        <w:rPr>
          <w:rFonts w:ascii="Arial" w:cs="Arial" w:eastAsia="Arial" w:hAnsi="Arial"/>
          <w:sz w:val="22"/>
          <w:szCs w:val="22"/>
          <w:rtl w:val="0"/>
        </w:rPr>
        <w:t xml:space="preserve"> vytvořil otevřenou výzvu pro města, která chtějí zlepšit způsob, jakým jsou výdejní boxy ve veřejném prostoru umisťovány. Během pěti měsíců spolupráce proběhla řada online seminářů i osobních setkání. Uskutečnilo se také několik krátkých schůzek s doručovateli a e-shopy, kteří byli ochotni sdílet zkušenosti s praxí.</w:t>
      </w:r>
    </w:p>
    <w:p w:rsidR="00000000" w:rsidDel="00000000" w:rsidP="00000000" w:rsidRDefault="00000000" w:rsidRPr="00000000" w14:paraId="0000000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Zapojená města nyní pracují s odborným doporučením, které jim může pomoci nastavit konkrétní opatření. Iniciativa sama klade důraz na odborné uchopení tématu – jak s doporučeními naloží konkrétní město, zůstává plně v kompetenci místních politiků.</w:t>
      </w:r>
    </w:p>
    <w:p w:rsidR="00000000" w:rsidDel="00000000" w:rsidP="00000000" w:rsidRDefault="00000000" w:rsidRPr="00000000" w14:paraId="00000006">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Samotný </w:t>
      </w:r>
      <w:r w:rsidDel="00000000" w:rsidR="00000000" w:rsidRPr="00000000">
        <w:rPr>
          <w:rFonts w:ascii="Arial" w:cs="Arial" w:eastAsia="Arial" w:hAnsi="Arial"/>
          <w:b w:val="1"/>
          <w:sz w:val="22"/>
          <w:szCs w:val="22"/>
          <w:rtl w:val="0"/>
        </w:rPr>
        <w:t xml:space="preserve">dokument není právně závazný</w:t>
      </w:r>
      <w:r w:rsidDel="00000000" w:rsidR="00000000" w:rsidRPr="00000000">
        <w:rPr>
          <w:rFonts w:ascii="Arial" w:cs="Arial" w:eastAsia="Arial" w:hAnsi="Arial"/>
          <w:sz w:val="22"/>
          <w:szCs w:val="22"/>
          <w:rtl w:val="0"/>
        </w:rPr>
        <w:t xml:space="preserve">. Pokud jej ale schválí rada města, stává se závazným podkladem pro městské odbory a organizace při rozhodování o umístění boxů na městských pozemcích. Soukromí provozovatelé ho mohou – ale nemusí – zohlednit. Strategie nepředstavuje legislativní nástroj. Nejde o vyhlášku, nařízení ani jiný druh formální regulace. Je to </w:t>
      </w:r>
      <w:r w:rsidDel="00000000" w:rsidR="00000000" w:rsidRPr="00000000">
        <w:rPr>
          <w:rFonts w:ascii="Arial" w:cs="Arial" w:eastAsia="Arial" w:hAnsi="Arial"/>
          <w:b w:val="1"/>
          <w:sz w:val="22"/>
          <w:szCs w:val="22"/>
          <w:rtl w:val="0"/>
        </w:rPr>
        <w:t xml:space="preserve">prostředek společenské dohody</w:t>
      </w:r>
      <w:r w:rsidDel="00000000" w:rsidR="00000000" w:rsidRPr="00000000">
        <w:rPr>
          <w:rFonts w:ascii="Arial" w:cs="Arial" w:eastAsia="Arial" w:hAnsi="Arial"/>
          <w:sz w:val="22"/>
          <w:szCs w:val="22"/>
          <w:rtl w:val="0"/>
        </w:rPr>
        <w:t xml:space="preserve">, díky kterému město může lépe vyjednávat, doporučovat – a také začít zametat před vlastním prahem.</w:t>
      </w:r>
    </w:p>
    <w:p w:rsidR="00000000" w:rsidDel="00000000" w:rsidP="00000000" w:rsidRDefault="00000000" w:rsidRPr="00000000" w14:paraId="00000007">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Strategie výdejní boxy vítá</w:t>
      </w:r>
      <w:r w:rsidDel="00000000" w:rsidR="00000000" w:rsidRPr="00000000">
        <w:rPr>
          <w:rFonts w:ascii="Arial" w:cs="Arial" w:eastAsia="Arial" w:hAnsi="Arial"/>
          <w:sz w:val="22"/>
          <w:szCs w:val="22"/>
          <w:rtl w:val="0"/>
        </w:rPr>
        <w:t xml:space="preserve"> jako užitečnou a inovativní službu, která má ve městech své místo. Zároveň však varuje před jejich nekontrolovanou instalací bez jasných pravidel – ta totiž často vede k dopravním komplikacím, bezpečnostním rizikům a postupnému znehodnocování veřejného prostoru.</w:t>
      </w:r>
    </w:p>
    <w:p w:rsidR="00000000" w:rsidDel="00000000" w:rsidP="00000000" w:rsidRDefault="00000000" w:rsidRPr="00000000" w14:paraId="0000000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Jednou ze zásadních myšlenek strategie je </w:t>
      </w:r>
      <w:r w:rsidDel="00000000" w:rsidR="00000000" w:rsidRPr="00000000">
        <w:rPr>
          <w:rFonts w:ascii="Arial" w:cs="Arial" w:eastAsia="Arial" w:hAnsi="Arial"/>
          <w:b w:val="1"/>
          <w:sz w:val="22"/>
          <w:szCs w:val="22"/>
          <w:rtl w:val="0"/>
        </w:rPr>
        <w:t xml:space="preserve">upřednostnit instalaci boxů v interiérech</w:t>
      </w:r>
      <w:r w:rsidDel="00000000" w:rsidR="00000000" w:rsidRPr="00000000">
        <w:rPr>
          <w:rFonts w:ascii="Arial" w:cs="Arial" w:eastAsia="Arial" w:hAnsi="Arial"/>
          <w:sz w:val="22"/>
          <w:szCs w:val="22"/>
          <w:rtl w:val="0"/>
        </w:rPr>
        <w:t xml:space="preserve">, podobně jako je tomu například v Kodani. Inspirací mohou být také provozovny, kde jsou boxy dostupné 24/7 a přístupné pomocí bankovní karty – tyto příklady ukazují, že bezpečnost a komfort lze skloubit s ohledem na okolí.</w:t>
      </w:r>
    </w:p>
    <w:p w:rsidR="00000000" w:rsidDel="00000000" w:rsidP="00000000" w:rsidRDefault="00000000" w:rsidRPr="00000000" w14:paraId="0000000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Strategie důrazně </w:t>
      </w:r>
      <w:r w:rsidDel="00000000" w:rsidR="00000000" w:rsidRPr="00000000">
        <w:rPr>
          <w:rFonts w:ascii="Arial" w:cs="Arial" w:eastAsia="Arial" w:hAnsi="Arial"/>
          <w:b w:val="1"/>
          <w:sz w:val="22"/>
          <w:szCs w:val="22"/>
          <w:rtl w:val="0"/>
        </w:rPr>
        <w:t xml:space="preserve">nedoporučuje volné umisťování boxů do veřejného prostoru</w:t>
      </w:r>
      <w:r w:rsidDel="00000000" w:rsidR="00000000" w:rsidRPr="00000000">
        <w:rPr>
          <w:rFonts w:ascii="Arial" w:cs="Arial" w:eastAsia="Arial" w:hAnsi="Arial"/>
          <w:sz w:val="22"/>
          <w:szCs w:val="22"/>
          <w:rtl w:val="0"/>
        </w:rPr>
        <w:t xml:space="preserve">, zejména v případech, kdy chybí provázanost s městskou infrastrukturou. Takové řešení často znamená zbytečnou dopravní zátěž, rizikové situace pro chodce i řidiče a úbytek estetické a pobytové kvality veřejných prostranství.</w:t>
      </w:r>
    </w:p>
    <w:p w:rsidR="00000000" w:rsidDel="00000000" w:rsidP="00000000" w:rsidRDefault="00000000" w:rsidRPr="00000000" w14:paraId="0000000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„Jako odborníci nemůžeme přímo nastavovat pravidla, ale můžeme nabídnout co nejlepší podklady pro kvalifikovaná rozhodnutí a férové vyjednávání – jak ze strany radnic, tak soukromých provozovatelů. Mám radost, že mi odborníci i zástupci měst projevili důvěru a že se celý projekt podařilo dotáhnout do smysluplného konce. Strategie slouží jako podklad pro společenskou dohodu, která stojí na lidech – a právě proto si nedělám iluze, že všechno půjde hladce. Je to proces, který se jako společnost musíme teprve naučit. Na Západě je podobný přístup naprosto běžný,“ říká Veronika Rút, autorka iniciativy.</w:t>
      </w:r>
    </w:p>
    <w:p w:rsidR="00000000" w:rsidDel="00000000" w:rsidP="00000000" w:rsidRDefault="00000000" w:rsidRPr="00000000" w14:paraId="0000000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Autory dokumentu jsou designérka Veronika Rút a architekt Jan Kadlas. Strategie vznikla jako výsledek mezioborové spolupráce širšího autorského týmu, ve kterém se potkali architekti, designéři a krajináři, například Petr Štefek (architekt), Tom Kozelský (architekt, KOGAA), Jaroslav Juřica (designér, CHYBIK+KRISTOF), Petr Velička (architekt), David Karásek (designér, mmcité) nebo Hana Chalupská (architektka, A8000)</w:t>
      </w:r>
    </w:p>
    <w:p w:rsidR="00000000" w:rsidDel="00000000" w:rsidP="00000000" w:rsidRDefault="00000000" w:rsidRPr="00000000" w14:paraId="0000000C">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Tým společně formuluje odborný pohled na umisťování výdejních boxů ve veřejném prostoru a překládá jej do srozumitelných doporučení. Dokument zároveň </w:t>
      </w:r>
      <w:r w:rsidDel="00000000" w:rsidR="00000000" w:rsidRPr="00000000">
        <w:rPr>
          <w:rFonts w:ascii="Arial" w:cs="Arial" w:eastAsia="Arial" w:hAnsi="Arial"/>
          <w:b w:val="1"/>
          <w:sz w:val="22"/>
          <w:szCs w:val="22"/>
          <w:rtl w:val="0"/>
        </w:rPr>
        <w:t xml:space="preserve">vyzývá doručovatele a e-shopy ke spolupráci s municipalitami</w:t>
      </w:r>
      <w:r w:rsidDel="00000000" w:rsidR="00000000" w:rsidRPr="00000000">
        <w:rPr>
          <w:rFonts w:ascii="Arial" w:cs="Arial" w:eastAsia="Arial" w:hAnsi="Arial"/>
          <w:sz w:val="22"/>
          <w:szCs w:val="22"/>
          <w:rtl w:val="0"/>
        </w:rPr>
        <w:t xml:space="preserve"> při hledání kvalitních a kontextuálně vhodných řešení.</w:t>
      </w:r>
    </w:p>
    <w:p w:rsidR="00000000" w:rsidDel="00000000" w:rsidP="00000000" w:rsidRDefault="00000000" w:rsidRPr="00000000" w14:paraId="0000000D">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Součástí strategie je také rámcový přehled zahraničních přístupů, který umožňuje porovnat český kontext se zkušenostmi ze zahraničí.</w:t>
      </w:r>
    </w:p>
    <w:p w:rsidR="00000000" w:rsidDel="00000000" w:rsidP="00000000" w:rsidRDefault="00000000" w:rsidRPr="00000000" w14:paraId="0000000E">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„Službu výdejních boxů je možné zpřístupnit plošně a zároveň se vyhnout negativním dopadům na veřejný prostor. Všichni zúčastnění – provozovatelé i veřejná správa – sdílejí vůli službu zlepšovat, což vytváří pevný základ pro odstraňování nedostatků. Společné úsilí má být koordinované a právě veřejná správa by měla hrát koordinační roli. Pro téměř každé místo lze nalézt citlivé řešení, a proto je důležité podporovat příklady dobré praxe a na základě dohody ustupovat od těch, které prostor zbytečně zatěžují,“ říká Jan Kadlas, spoluautor strategie.</w:t>
      </w:r>
    </w:p>
    <w:p w:rsidR="00000000" w:rsidDel="00000000" w:rsidP="00000000" w:rsidRDefault="00000000" w:rsidRPr="00000000" w14:paraId="0000000F">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Strategie doporučuje inspirovat se přístupem města Utrecht a </w:t>
      </w:r>
      <w:r w:rsidDel="00000000" w:rsidR="00000000" w:rsidRPr="00000000">
        <w:rPr>
          <w:rFonts w:ascii="Arial" w:cs="Arial" w:eastAsia="Arial" w:hAnsi="Arial"/>
          <w:b w:val="1"/>
          <w:sz w:val="22"/>
          <w:szCs w:val="22"/>
          <w:rtl w:val="0"/>
        </w:rPr>
        <w:t xml:space="preserve">vytipovat na území celého města nejvhodnější místa pro umístění výdejních boxů</w:t>
      </w:r>
      <w:r w:rsidDel="00000000" w:rsidR="00000000" w:rsidRPr="00000000">
        <w:rPr>
          <w:rFonts w:ascii="Arial" w:cs="Arial" w:eastAsia="Arial" w:hAnsi="Arial"/>
          <w:sz w:val="22"/>
          <w:szCs w:val="22"/>
          <w:rtl w:val="0"/>
        </w:rPr>
        <w:t xml:space="preserve">. Tato místa by měla být projednána s doručovateli a e-shopy, a následně </w:t>
      </w:r>
      <w:r w:rsidDel="00000000" w:rsidR="00000000" w:rsidRPr="00000000">
        <w:rPr>
          <w:rFonts w:ascii="Arial" w:cs="Arial" w:eastAsia="Arial" w:hAnsi="Arial"/>
          <w:b w:val="1"/>
          <w:sz w:val="22"/>
          <w:szCs w:val="22"/>
          <w:rtl w:val="0"/>
        </w:rPr>
        <w:t xml:space="preserve">ukotvena například v tržním řádu nebo jiných nástrojích městské správy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Cílem projektu je </w:t>
      </w:r>
      <w:r w:rsidDel="00000000" w:rsidR="00000000" w:rsidRPr="00000000">
        <w:rPr>
          <w:rFonts w:ascii="Arial" w:cs="Arial" w:eastAsia="Arial" w:hAnsi="Arial"/>
          <w:b w:val="1"/>
          <w:sz w:val="22"/>
          <w:szCs w:val="22"/>
          <w:rtl w:val="0"/>
        </w:rPr>
        <w:t xml:space="preserve">sjednotit přístup měst</w:t>
      </w:r>
      <w:r w:rsidDel="00000000" w:rsidR="00000000" w:rsidRPr="00000000">
        <w:rPr>
          <w:rFonts w:ascii="Arial" w:cs="Arial" w:eastAsia="Arial" w:hAnsi="Arial"/>
          <w:sz w:val="22"/>
          <w:szCs w:val="22"/>
          <w:rtl w:val="0"/>
        </w:rPr>
        <w:t xml:space="preserve">, která chtějí nastavit jasná pravidla pro umisťování výdejních boxů a současně zlepšit kvalitu veřejného prostoru. Jednotný přístup, například v otázkách polepů, osvětlení nebo barevného provedení boxů, je pro firmy přínosnější než nekoordinované požadavky, kdy by každé město mělo zcela odlišná pravidla.</w:t>
      </w:r>
    </w:p>
    <w:p w:rsidR="00000000" w:rsidDel="00000000" w:rsidP="00000000" w:rsidRDefault="00000000" w:rsidRPr="00000000" w14:paraId="00000011">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Strategie podporuje podnikání – </w:t>
      </w:r>
      <w:r w:rsidDel="00000000" w:rsidR="00000000" w:rsidRPr="00000000">
        <w:rPr>
          <w:rFonts w:ascii="Arial" w:cs="Arial" w:eastAsia="Arial" w:hAnsi="Arial"/>
          <w:b w:val="1"/>
          <w:sz w:val="22"/>
          <w:szCs w:val="22"/>
          <w:rtl w:val="0"/>
        </w:rPr>
        <w:t xml:space="preserve">firmy se nemusejí obávat příliš striktního přístupu</w:t>
      </w:r>
      <w:r w:rsidDel="00000000" w:rsidR="00000000" w:rsidRPr="00000000">
        <w:rPr>
          <w:rFonts w:ascii="Arial" w:cs="Arial" w:eastAsia="Arial" w:hAnsi="Arial"/>
          <w:sz w:val="22"/>
          <w:szCs w:val="22"/>
          <w:rtl w:val="0"/>
        </w:rPr>
        <w:t xml:space="preserve">. Naopak: dokument nabízí předvídatelný rámec a prostor pro spolupráci mezi veřejným a soukromým sektorem.</w:t>
      </w:r>
    </w:p>
    <w:p w:rsidR="00000000" w:rsidDel="00000000" w:rsidP="00000000" w:rsidRDefault="00000000" w:rsidRPr="00000000" w14:paraId="00000012">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Neveřejnou součástí strategie je metodika práce s tržními řády, určená pro vedení měst a úředníky.</w:t>
      </w:r>
      <w:r w:rsidDel="00000000" w:rsidR="00000000" w:rsidRPr="00000000">
        <w:rPr>
          <w:rFonts w:ascii="Arial" w:cs="Arial" w:eastAsia="Arial" w:hAnsi="Arial"/>
          <w:sz w:val="22"/>
          <w:szCs w:val="22"/>
          <w:rtl w:val="0"/>
        </w:rPr>
        <w:t xml:space="preserve"> Obsahuje podrobný výklad toho, co lze – a naopak nelze – v tržních řádech obcí nastavit. Autory jsou právníci z advokátní kanceláře </w:t>
      </w:r>
      <w:hyperlink r:id="rId7">
        <w:r w:rsidDel="00000000" w:rsidR="00000000" w:rsidRPr="00000000">
          <w:rPr>
            <w:rFonts w:ascii="Arial" w:cs="Arial" w:eastAsia="Arial" w:hAnsi="Arial"/>
            <w:b w:val="1"/>
            <w:color w:val="1155cc"/>
            <w:sz w:val="22"/>
            <w:szCs w:val="22"/>
            <w:u w:val="single"/>
            <w:rtl w:val="0"/>
          </w:rPr>
          <w:t xml:space="preserve">Urban legal</w:t>
        </w:r>
      </w:hyperlink>
      <w:r w:rsidDel="00000000" w:rsidR="00000000" w:rsidRPr="00000000">
        <w:rPr>
          <w:rFonts w:ascii="Arial" w:cs="Arial" w:eastAsia="Arial" w:hAnsi="Arial"/>
          <w:sz w:val="22"/>
          <w:szCs w:val="22"/>
          <w:rtl w:val="0"/>
        </w:rPr>
        <w:t xml:space="preserve">, která se dlouhodobě specializuje na městské právo.</w:t>
      </w:r>
    </w:p>
    <w:p w:rsidR="00000000" w:rsidDel="00000000" w:rsidP="00000000" w:rsidRDefault="00000000" w:rsidRPr="00000000" w14:paraId="00000013">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Metodika vychází z platné judikatury a má obecný charakter – </w:t>
      </w:r>
      <w:r w:rsidDel="00000000" w:rsidR="00000000" w:rsidRPr="00000000">
        <w:rPr>
          <w:rFonts w:ascii="Arial" w:cs="Arial" w:eastAsia="Arial" w:hAnsi="Arial"/>
          <w:b w:val="1"/>
          <w:sz w:val="22"/>
          <w:szCs w:val="22"/>
          <w:rtl w:val="0"/>
        </w:rPr>
        <w:t xml:space="preserve">slouží jako rámcový podklad pro místní právníky</w:t>
      </w:r>
      <w:r w:rsidDel="00000000" w:rsidR="00000000" w:rsidRPr="00000000">
        <w:rPr>
          <w:rFonts w:ascii="Arial" w:cs="Arial" w:eastAsia="Arial" w:hAnsi="Arial"/>
          <w:sz w:val="22"/>
          <w:szCs w:val="22"/>
          <w:rtl w:val="0"/>
        </w:rPr>
        <w:t xml:space="preserve">, kteří ji dále upraví podle konkrétních potřeb daného města. Cílem je zajistit právně udržitelná a prakticky proveditelná opatření.</w:t>
      </w:r>
    </w:p>
    <w:p w:rsidR="00000000" w:rsidDel="00000000" w:rsidP="00000000" w:rsidRDefault="00000000" w:rsidRPr="00000000" w14:paraId="00000014">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 důvodu možného </w:t>
      </w:r>
      <w:r w:rsidDel="00000000" w:rsidR="00000000" w:rsidRPr="00000000">
        <w:rPr>
          <w:rFonts w:ascii="Arial" w:cs="Arial" w:eastAsia="Arial" w:hAnsi="Arial"/>
          <w:b w:val="1"/>
          <w:sz w:val="22"/>
          <w:szCs w:val="22"/>
          <w:rtl w:val="0"/>
        </w:rPr>
        <w:t xml:space="preserve">nesprávného výkladu nebo zneužití není metodika volně dostupná</w:t>
      </w:r>
      <w:r w:rsidDel="00000000" w:rsidR="00000000" w:rsidRPr="00000000">
        <w:rPr>
          <w:rFonts w:ascii="Arial" w:cs="Arial" w:eastAsia="Arial" w:hAnsi="Arial"/>
          <w:sz w:val="22"/>
          <w:szCs w:val="22"/>
          <w:rtl w:val="0"/>
        </w:rPr>
        <w:t xml:space="preserve">. K dispozici je pouze zástupcům municipalit a úředníkům, kteří absolvují školení. Ti získají nejen samotný dokument, ale také širší kontext, který je pro správnou aplikaci nezbytný. Zájemci o školení se mohou přihlásit na tereza@kultivovanamesta.cz. Po jeho absolvování jim bude metodika zpřístupněna.</w:t>
      </w:r>
    </w:p>
    <w:p w:rsidR="00000000" w:rsidDel="00000000" w:rsidP="00000000" w:rsidRDefault="00000000" w:rsidRPr="00000000" w14:paraId="0000001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Součástí podkladů je také </w:t>
      </w:r>
      <w:r w:rsidDel="00000000" w:rsidR="00000000" w:rsidRPr="00000000">
        <w:rPr>
          <w:rFonts w:ascii="Arial" w:cs="Arial" w:eastAsia="Arial" w:hAnsi="Arial"/>
          <w:b w:val="1"/>
          <w:sz w:val="22"/>
          <w:szCs w:val="22"/>
          <w:rtl w:val="0"/>
        </w:rPr>
        <w:t xml:space="preserve">argumentace vycházející z reálných nedorozumění, ke kterým již v minulosti mezi městy a doručovateli došlo</w:t>
      </w:r>
      <w:r w:rsidDel="00000000" w:rsidR="00000000" w:rsidRPr="00000000">
        <w:rPr>
          <w:rFonts w:ascii="Arial" w:cs="Arial" w:eastAsia="Arial" w:hAnsi="Arial"/>
          <w:sz w:val="22"/>
          <w:szCs w:val="22"/>
          <w:rtl w:val="0"/>
        </w:rPr>
        <w:t xml:space="preserve">. Právě proto je cílem celé iniciativy </w:t>
      </w:r>
      <w:r w:rsidDel="00000000" w:rsidR="00000000" w:rsidRPr="00000000">
        <w:rPr>
          <w:rFonts w:ascii="Arial" w:cs="Arial" w:eastAsia="Arial" w:hAnsi="Arial"/>
          <w:b w:val="1"/>
          <w:sz w:val="22"/>
          <w:szCs w:val="22"/>
          <w:rtl w:val="0"/>
        </w:rPr>
        <w:t xml:space="preserve">co nejvíce usnadnit spolupráci mezi veřejným a soukromým sektorem</w:t>
      </w:r>
      <w:r w:rsidDel="00000000" w:rsidR="00000000" w:rsidRPr="00000000">
        <w:rPr>
          <w:rFonts w:ascii="Arial" w:cs="Arial" w:eastAsia="Arial" w:hAnsi="Arial"/>
          <w:sz w:val="22"/>
          <w:szCs w:val="22"/>
          <w:rtl w:val="0"/>
        </w:rPr>
        <w:t xml:space="preserve"> a přispět k nalezení společného konsenzu.</w:t>
      </w:r>
    </w:p>
    <w:p w:rsidR="00000000" w:rsidDel="00000000" w:rsidP="00000000" w:rsidRDefault="00000000" w:rsidRPr="00000000" w14:paraId="00000016">
      <w:pPr>
        <w:spacing w:after="240" w:before="240"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Důraz je kladen na </w:t>
      </w:r>
      <w:r w:rsidDel="00000000" w:rsidR="00000000" w:rsidRPr="00000000">
        <w:rPr>
          <w:rFonts w:ascii="Arial" w:cs="Arial" w:eastAsia="Arial" w:hAnsi="Arial"/>
          <w:b w:val="1"/>
          <w:sz w:val="22"/>
          <w:szCs w:val="22"/>
          <w:rtl w:val="0"/>
        </w:rPr>
        <w:t xml:space="preserve">srozumitelnost a koherenci</w:t>
      </w:r>
      <w:r w:rsidDel="00000000" w:rsidR="00000000" w:rsidRPr="00000000">
        <w:rPr>
          <w:rFonts w:ascii="Arial" w:cs="Arial" w:eastAsia="Arial" w:hAnsi="Arial"/>
          <w:sz w:val="22"/>
          <w:szCs w:val="22"/>
          <w:rtl w:val="0"/>
        </w:rPr>
        <w:t xml:space="preserve">, aby byly materiály skutečně užitečným nástrojem pro praktické rozhodování. Odborný konsenzus doporučuje stavět na prvním místě </w:t>
      </w:r>
      <w:r w:rsidDel="00000000" w:rsidR="00000000" w:rsidRPr="00000000">
        <w:rPr>
          <w:rFonts w:ascii="Arial" w:cs="Arial" w:eastAsia="Arial" w:hAnsi="Arial"/>
          <w:b w:val="1"/>
          <w:sz w:val="22"/>
          <w:szCs w:val="22"/>
          <w:rtl w:val="0"/>
        </w:rPr>
        <w:t xml:space="preserve">vyjednávání</w:t>
      </w:r>
      <w:r w:rsidDel="00000000" w:rsidR="00000000" w:rsidRPr="00000000">
        <w:rPr>
          <w:rFonts w:ascii="Arial" w:cs="Arial" w:eastAsia="Arial" w:hAnsi="Arial"/>
          <w:sz w:val="22"/>
          <w:szCs w:val="22"/>
          <w:rtl w:val="0"/>
        </w:rPr>
        <w:t xml:space="preserve"> a při zavádění jakýchkoli opatření </w:t>
      </w:r>
      <w:r w:rsidDel="00000000" w:rsidR="00000000" w:rsidRPr="00000000">
        <w:rPr>
          <w:rFonts w:ascii="Arial" w:cs="Arial" w:eastAsia="Arial" w:hAnsi="Arial"/>
          <w:b w:val="1"/>
          <w:sz w:val="22"/>
          <w:szCs w:val="22"/>
          <w:rtl w:val="0"/>
        </w:rPr>
        <w:t xml:space="preserve">počítat s přechodným obdobím</w:t>
      </w:r>
      <w:r w:rsidDel="00000000" w:rsidR="00000000" w:rsidRPr="00000000">
        <w:rPr>
          <w:rFonts w:ascii="Arial" w:cs="Arial" w:eastAsia="Arial" w:hAnsi="Arial"/>
          <w:sz w:val="22"/>
          <w:szCs w:val="22"/>
          <w:rtl w:val="0"/>
        </w:rPr>
        <w:t xml:space="preserve">, které umožní firmám se na změny připravit. Tento postup se osvědčil například v severských zemích, kde podobné zásahy probíhaly </w:t>
      </w:r>
      <w:r w:rsidDel="00000000" w:rsidR="00000000" w:rsidRPr="00000000">
        <w:rPr>
          <w:rFonts w:ascii="Arial" w:cs="Arial" w:eastAsia="Arial" w:hAnsi="Arial"/>
          <w:b w:val="1"/>
          <w:sz w:val="22"/>
          <w:szCs w:val="22"/>
          <w:rtl w:val="0"/>
        </w:rPr>
        <w:t xml:space="preserve">v dialogu a s důrazem na kontinuitu provozu.</w:t>
      </w:r>
    </w:p>
    <w:p w:rsidR="00000000" w:rsidDel="00000000" w:rsidP="00000000" w:rsidRDefault="00000000" w:rsidRPr="00000000" w14:paraId="00000017">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Autoři věří, že města tento přístup zohlední a že jej přijmou i soukromí provozovatelé jako férový rámec. </w:t>
      </w:r>
      <w:r w:rsidDel="00000000" w:rsidR="00000000" w:rsidRPr="00000000">
        <w:rPr>
          <w:rFonts w:ascii="Arial" w:cs="Arial" w:eastAsia="Arial" w:hAnsi="Arial"/>
          <w:b w:val="1"/>
          <w:sz w:val="22"/>
          <w:szCs w:val="22"/>
          <w:rtl w:val="0"/>
        </w:rPr>
        <w:t xml:space="preserve">Bez ohledu na konkrétní formu pravidel je jisté, že k jejich nastavení dříve či později dojde</w:t>
      </w:r>
      <w:r w:rsidDel="00000000" w:rsidR="00000000" w:rsidRPr="00000000">
        <w:rPr>
          <w:rFonts w:ascii="Arial" w:cs="Arial" w:eastAsia="Arial" w:hAnsi="Arial"/>
          <w:sz w:val="22"/>
          <w:szCs w:val="22"/>
          <w:rtl w:val="0"/>
        </w:rPr>
        <w:t xml:space="preserve"> – a čím dřív se podaří najít shodu, tím lépe pro obě strany.</w:t>
      </w:r>
    </w:p>
    <w:p w:rsidR="00000000" w:rsidDel="00000000" w:rsidP="00000000" w:rsidRDefault="00000000" w:rsidRPr="00000000" w14:paraId="0000001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*Zástupci z měst: Česká Třebová, České Budějovice, Hradec Králové, Jablonec nad Nisou, Jičín, Karlovy Vary, Kopřivnice, Liberec, Městská část Brno-střed, Nové Město na Moravě, Olomouc, Pardubice, Příbram, Roztoky, Slavkov u Brna, Tábor, Ústí nad Labem, Ústí nad Orlicí</w:t>
      </w:r>
    </w:p>
    <w:p w:rsidR="00000000" w:rsidDel="00000000" w:rsidP="00000000" w:rsidRDefault="00000000" w:rsidRPr="00000000" w14:paraId="0000001A">
      <w:pPr>
        <w:spacing w:after="0" w:before="44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Fonts w:ascii="Arial" w:cs="Arial" w:eastAsia="Arial" w:hAnsi="Arial"/>
          <w:rtl w:val="0"/>
        </w:rPr>
        <w:t xml:space="preserve">Kontakt:</w:t>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Fonts w:ascii="Arial" w:cs="Arial" w:eastAsia="Arial" w:hAnsi="Arial"/>
          <w:rtl w:val="0"/>
        </w:rPr>
        <w:t xml:space="preserve">Veronika Rút, +420 728 798 046, </w:t>
      </w:r>
      <w:hyperlink r:id="rId8">
        <w:r w:rsidDel="00000000" w:rsidR="00000000" w:rsidRPr="00000000">
          <w:rPr>
            <w:rFonts w:ascii="Arial" w:cs="Arial" w:eastAsia="Arial" w:hAnsi="Arial"/>
            <w:color w:val="1155cc"/>
            <w:u w:val="single"/>
            <w:rtl w:val="0"/>
          </w:rPr>
          <w:t xml:space="preserve">veronika@kultivovanamesta.cz</w:t>
        </w:r>
      </w:hyperlink>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76" w:lineRule="auto"/>
        <w:rPr>
          <w:sz w:val="22"/>
          <w:szCs w:val="22"/>
        </w:rPr>
      </w:pPr>
      <w:r w:rsidDel="00000000" w:rsidR="00000000" w:rsidRPr="00000000">
        <w:rPr>
          <w:rFonts w:ascii="Arial" w:cs="Arial" w:eastAsia="Arial" w:hAnsi="Arial"/>
          <w:rtl w:val="0"/>
        </w:rPr>
        <w:t xml:space="preserve">Jan Kadlas, +420 777 556 180, </w:t>
      </w:r>
      <w:hyperlink r:id="rId9">
        <w:r w:rsidDel="00000000" w:rsidR="00000000" w:rsidRPr="00000000">
          <w:rPr>
            <w:rFonts w:ascii="Arial" w:cs="Arial" w:eastAsia="Arial" w:hAnsi="Arial"/>
            <w:color w:val="1155cc"/>
            <w:u w:val="single"/>
            <w:rtl w:val="0"/>
          </w:rPr>
          <w:t xml:space="preserve">kadlas@ipr.praha.eu</w:t>
        </w:r>
      </w:hyperlink>
      <w:r w:rsidDel="00000000" w:rsidR="00000000" w:rsidRPr="00000000">
        <w:rPr>
          <w:rFonts w:ascii="Arial" w:cs="Arial" w:eastAsia="Arial" w:hAnsi="Arial"/>
          <w:rtl w:val="0"/>
        </w:rPr>
        <w:t xml:space="preserve"> </w:t>
      </w:r>
      <w:r w:rsidDel="00000000" w:rsidR="00000000" w:rsidRPr="00000000">
        <w:rPr>
          <w:rtl w:val="0"/>
        </w:rPr>
      </w:r>
    </w:p>
    <w:sectPr>
      <w:headerReference r:id="rId10" w:type="default"/>
      <w:footerReference r:id="rId11" w:type="default"/>
      <w:pgSz w:h="16834" w:w="11909" w:orient="portrait"/>
      <w:pgMar w:bottom="1440" w:top="2267.71653543307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color w:val="0000ff"/>
        <w:sz w:val="20"/>
        <w:szCs w:val="20"/>
      </w:rPr>
    </w:pPr>
    <w:r w:rsidDel="00000000" w:rsidR="00000000" w:rsidRPr="00000000">
      <w:rPr>
        <w:color w:val="0000ff"/>
        <w:sz w:val="20"/>
        <w:szCs w:val="20"/>
        <w:rtl w:val="0"/>
      </w:rPr>
      <w:t xml:space="preserve">____________________________________________________________________________________________________</w:t>
    </w:r>
  </w:p>
  <w:p w:rsidR="00000000" w:rsidDel="00000000" w:rsidP="00000000" w:rsidRDefault="00000000" w:rsidRPr="00000000" w14:paraId="00000024">
    <w:pPr>
      <w:rPr>
        <w:color w:val="0000ff"/>
        <w:sz w:val="20"/>
        <w:szCs w:val="20"/>
      </w:rPr>
    </w:pPr>
    <w:r w:rsidDel="00000000" w:rsidR="00000000" w:rsidRPr="00000000">
      <w:rPr>
        <w:color w:val="0000ff"/>
        <w:sz w:val="20"/>
        <w:szCs w:val="20"/>
        <w:rtl w:val="0"/>
      </w:rPr>
      <w:t xml:space="preserve">Naše kultivovaná města, z. s. </w:t>
      <w:br w:type="textWrapping"/>
      <w:t xml:space="preserve">Veronika Rút | +420 728 798 046 | </w:t>
    </w:r>
    <w:hyperlink r:id="rId1">
      <w:r w:rsidDel="00000000" w:rsidR="00000000" w:rsidRPr="00000000">
        <w:rPr>
          <w:color w:val="0000ff"/>
          <w:sz w:val="20"/>
          <w:szCs w:val="20"/>
          <w:u w:val="single"/>
          <w:rtl w:val="0"/>
        </w:rPr>
        <w:t xml:space="preserve">veronika@kultivovanamesta.cz</w:t>
      </w:r>
    </w:hyperlink>
    <w:r w:rsidDel="00000000" w:rsidR="00000000" w:rsidRPr="00000000">
      <w:rPr>
        <w:color w:val="0000ff"/>
        <w:sz w:val="20"/>
        <w:szCs w:val="20"/>
        <w:rtl w:val="0"/>
      </w:rPr>
      <w:t xml:space="preserve"> | </w:t>
    </w:r>
    <w:hyperlink r:id="rId2">
      <w:r w:rsidDel="00000000" w:rsidR="00000000" w:rsidRPr="00000000">
        <w:rPr>
          <w:color w:val="0000ff"/>
          <w:sz w:val="20"/>
          <w:szCs w:val="20"/>
          <w:u w:val="single"/>
          <w:rtl w:val="0"/>
        </w:rPr>
        <w:t xml:space="preserve">kultivovanamesta.cz</w:t>
      </w:r>
    </w:hyperlink>
    <w:r w:rsidDel="00000000" w:rsidR="00000000" w:rsidRPr="00000000">
      <w:rPr>
        <w:color w:val="0000ff"/>
        <w:sz w:val="20"/>
        <w:szCs w:val="2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drawing>
        <wp:inline distB="114300" distT="114300" distL="114300" distR="114300">
          <wp:extent cx="5731200" cy="381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381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4"/>
        <w:szCs w:val="24"/>
        <w:lang w:val="cs"/>
      </w:rPr>
    </w:rPrDefault>
    <w:pPrDefault>
      <w:pPr>
        <w:spacing w:after="160" w:line="301.0909090909090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kadlas@ipr.praha.eu" TargetMode="External"/><Relationship Id="rId5" Type="http://schemas.openxmlformats.org/officeDocument/2006/relationships/styles" Target="styles.xml"/><Relationship Id="rId6" Type="http://schemas.openxmlformats.org/officeDocument/2006/relationships/hyperlink" Target="https://www.kultivovanamesta.cz/" TargetMode="External"/><Relationship Id="rId7" Type="http://schemas.openxmlformats.org/officeDocument/2006/relationships/hyperlink" Target="https://www.urbanlegal.cz/" TargetMode="External"/><Relationship Id="rId8" Type="http://schemas.openxmlformats.org/officeDocument/2006/relationships/hyperlink" Target="mailto:veronika@kultivovanamesta.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veronika@kultivovanamesta.cz" TargetMode="External"/><Relationship Id="rId2" Type="http://schemas.openxmlformats.org/officeDocument/2006/relationships/hyperlink" Target="https://www.kultivovanamest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